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77777777" w:rsidR="00A42BE4" w:rsidRPr="00BF6350" w:rsidRDefault="001A776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2021.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9842FFD" w14:textId="3DC7837D" w:rsidR="00216D5E" w:rsidRPr="0043530D" w:rsidRDefault="00A42BE4" w:rsidP="0043530D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  <w:bookmarkStart w:id="0" w:name="_GoBack"/>
      <w:bookmarkEnd w:id="0"/>
    </w:p>
    <w:sectPr w:rsidR="00216D5E" w:rsidRPr="0043530D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42BF387A" w:rsidR="00DE4DE5" w:rsidRPr="00BF6350" w:rsidRDefault="001637E7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1637E7">
            <w:rPr>
              <w:rFonts w:eastAsia="Calibri"/>
              <w:b/>
              <w:sz w:val="20"/>
              <w:szCs w:val="20"/>
            </w:rPr>
            <w:t>Józsefvárosban működő helyi nemzetiségi önkormányzatok</w:t>
          </w:r>
          <w:r w:rsidR="002B0840">
            <w:rPr>
              <w:rFonts w:eastAsia="Calibri"/>
              <w:b/>
              <w:sz w:val="20"/>
              <w:szCs w:val="20"/>
            </w:rPr>
            <w:t xml:space="preserve">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637E7"/>
    <w:rsid w:val="001A7765"/>
    <w:rsid w:val="002127B4"/>
    <w:rsid w:val="00216D5E"/>
    <w:rsid w:val="00290DC4"/>
    <w:rsid w:val="002A2A2C"/>
    <w:rsid w:val="002B0840"/>
    <w:rsid w:val="002E5C85"/>
    <w:rsid w:val="00317E73"/>
    <w:rsid w:val="003C489F"/>
    <w:rsid w:val="0043530D"/>
    <w:rsid w:val="004543A2"/>
    <w:rsid w:val="00454D5F"/>
    <w:rsid w:val="00465A64"/>
    <w:rsid w:val="004731AF"/>
    <w:rsid w:val="004D2284"/>
    <w:rsid w:val="00654679"/>
    <w:rsid w:val="00662FD5"/>
    <w:rsid w:val="00684017"/>
    <w:rsid w:val="007311D2"/>
    <w:rsid w:val="00785C0B"/>
    <w:rsid w:val="00884F45"/>
    <w:rsid w:val="008B64A1"/>
    <w:rsid w:val="00A42BE4"/>
    <w:rsid w:val="00B0276C"/>
    <w:rsid w:val="00C752DA"/>
    <w:rsid w:val="00CC4825"/>
    <w:rsid w:val="00CF089B"/>
    <w:rsid w:val="00D713E1"/>
    <w:rsid w:val="00DE4DE5"/>
    <w:rsid w:val="00ED708A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7C03-67B1-4012-B947-6F706B66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2021-05-25T06:58:00Z</dcterms:created>
  <dcterms:modified xsi:type="dcterms:W3CDTF">2021-05-25T13:47:00Z</dcterms:modified>
</cp:coreProperties>
</file>