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46969E68"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1B47E775"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062AD6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 </w:t>
      </w:r>
      <w:r w:rsidRPr="00A65F8D">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48482A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A95868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ab) </w:t>
      </w:r>
      <w:r w:rsidRPr="00A65F8D">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557C46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0316CD49"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1CCE1488"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ae</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pénzmosás, valamint a Btk. szerinti terrorizmus finanszírozása;</w:t>
      </w:r>
    </w:p>
    <w:p w14:paraId="28F662E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af</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emberkereskedelem, valamint a Btk. szerinti kényszermunka;</w:t>
      </w:r>
    </w:p>
    <w:p w14:paraId="0F3DED7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ag</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55CB15F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ah) </w:t>
      </w:r>
      <w:r w:rsidRPr="00A65F8D">
        <w:rPr>
          <w:rFonts w:ascii="Times New Roman" w:eastAsia="Times New Roman" w:hAnsi="Times New Roman" w:cs="Times New Roman"/>
          <w:lang w:eastAsia="hu-HU"/>
        </w:rPr>
        <w:t xml:space="preserve">a gazdasági szereplő személyes joga szerinti, az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 xml:space="preserve">pontokban </w:t>
      </w:r>
      <w:proofErr w:type="spellStart"/>
      <w:r w:rsidRPr="00A65F8D">
        <w:rPr>
          <w:rFonts w:ascii="Times New Roman" w:eastAsia="Times New Roman" w:hAnsi="Times New Roman" w:cs="Times New Roman"/>
          <w:lang w:eastAsia="hu-HU"/>
        </w:rPr>
        <w:t>felsoroltakhoz</w:t>
      </w:r>
      <w:proofErr w:type="spellEnd"/>
      <w:r w:rsidRPr="00A65F8D">
        <w:rPr>
          <w:rFonts w:ascii="Times New Roman" w:eastAsia="Times New Roman" w:hAnsi="Times New Roman" w:cs="Times New Roman"/>
          <w:lang w:eastAsia="hu-HU"/>
        </w:rPr>
        <w:t xml:space="preserve"> hasonló bűncselekmény;</w:t>
      </w:r>
    </w:p>
    <w:p w14:paraId="6B167F9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b) </w:t>
      </w:r>
      <w:r w:rsidRPr="00A65F8D">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2AB6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c) </w:t>
      </w:r>
      <w:r w:rsidRPr="00A65F8D">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6B781F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tevékenységét felfüggesztette vagy akinek tevékenységét felfüggesztették;</w:t>
      </w:r>
    </w:p>
    <w:p w14:paraId="5902274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e) </w:t>
      </w:r>
      <w:r w:rsidRPr="00A65F8D">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2AA290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f) </w:t>
      </w:r>
      <w:r w:rsidRPr="00A65F8D">
        <w:rPr>
          <w:rFonts w:ascii="Times New Roman" w:eastAsia="Times New Roman" w:hAnsi="Times New Roman" w:cs="Times New Roman"/>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4F602D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lastRenderedPageBreak/>
        <w:t xml:space="preserve">g) </w:t>
      </w:r>
      <w:r w:rsidRPr="00A65F8D">
        <w:rPr>
          <w:rFonts w:ascii="Times New Roman" w:eastAsia="Times New Roman" w:hAnsi="Times New Roman" w:cs="Times New Roman"/>
          <w:lang w:eastAsia="hu-HU"/>
        </w:rPr>
        <w:t>tekintetében a következő feltételek valamelyike megvalósul:</w:t>
      </w:r>
    </w:p>
    <w:p w14:paraId="3CD886AB"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9B3124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65F8D">
        <w:rPr>
          <w:rFonts w:ascii="Times New Roman" w:eastAsia="Times New Roman" w:hAnsi="Times New Roman" w:cs="Times New Roman"/>
          <w:i/>
          <w:lang w:eastAsia="hu-HU"/>
        </w:rPr>
        <w:t xml:space="preserve">38. tényleges tulajdonos </w:t>
      </w:r>
      <w:r w:rsidRPr="00A65F8D">
        <w:rPr>
          <w:rFonts w:ascii="Times New Roman" w:eastAsia="Times New Roman" w:hAnsi="Times New Roman" w:cs="Times New Roman"/>
          <w:lang w:eastAsia="hu-HU"/>
        </w:rPr>
        <w:t xml:space="preserve">pont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alpontja szerinti tényleges tulajdonosát nem képes megnevezni, vagy</w:t>
      </w:r>
    </w:p>
    <w:p w14:paraId="45D21F6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alpont szerinti feltétel fennáll;</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308727A8"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 xml:space="preserve">Kölcsey utca, Békési utca és Scheiber Sándor utca </w:t>
      </w:r>
      <w:r w:rsidRPr="00A65F8D">
        <w:rPr>
          <w:rFonts w:ascii="Times New Roman" w:eastAsia="Times New Roman" w:hAnsi="Times New Roman" w:cs="Times New Roman"/>
          <w:b/>
          <w:lang w:eastAsia="hu-HU"/>
        </w:rPr>
        <w:t xml:space="preserve">megújítása tervezés” </w:t>
      </w:r>
      <w:r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7">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A65F8D">
        <w:rPr>
          <w:rFonts w:ascii="Times New Roman" w:eastAsia="Times New Roman" w:hAnsi="Times New Roman" w:cs="Times New Roman"/>
          <w:b/>
          <w:lang w:eastAsia="hu-HU"/>
        </w:rPr>
        <w:t>Titoktartási</w:t>
      </w:r>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b/>
          <w:lang w:eastAsia="hu-HU"/>
        </w:rPr>
        <w:t>Nyilatkozat</w:t>
      </w:r>
    </w:p>
    <w:p w14:paraId="345E3814"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4C091BB1"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14782FF8"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61D4E853"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3FE1B0F0"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2EE56072" w14:textId="77777777" w:rsidTr="00A65F8D">
        <w:trPr>
          <w:trHeight w:val="1133"/>
          <w:jc w:val="center"/>
        </w:trPr>
        <w:tc>
          <w:tcPr>
            <w:tcW w:w="4106" w:type="dxa"/>
            <w:vAlign w:val="center"/>
          </w:tcPr>
          <w:p w14:paraId="23347842"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M2.1. 1 fő 266/2013. (VII. 11.) Korm. rendelet 1.  mellékletben meghatározott II. 4. pontja szerinti „Táj- és kertépítészeti tervezési terület” – (jelölés: K)</w:t>
            </w:r>
          </w:p>
        </w:tc>
        <w:tc>
          <w:tcPr>
            <w:tcW w:w="2835" w:type="dxa"/>
            <w:vAlign w:val="center"/>
          </w:tcPr>
          <w:p w14:paraId="2EF649E7" w14:textId="77777777" w:rsidR="00A65F8D" w:rsidRPr="00A65F8D" w:rsidRDefault="00A65F8D" w:rsidP="00A65F8D">
            <w:pPr>
              <w:spacing w:after="0" w:line="240" w:lineRule="auto"/>
              <w:rPr>
                <w:rFonts w:ascii="Times New Roman" w:eastAsia="Times New Roman" w:hAnsi="Times New Roman" w:cs="Times New Roman"/>
                <w:lang w:eastAsia="hu-HU"/>
              </w:rPr>
            </w:pPr>
          </w:p>
          <w:p w14:paraId="397DF929"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30CC765B" w14:textId="77777777" w:rsidR="00A65F8D" w:rsidRPr="00A65F8D" w:rsidRDefault="00A65F8D" w:rsidP="00A65F8D">
            <w:pPr>
              <w:spacing w:after="0" w:line="240" w:lineRule="auto"/>
              <w:rPr>
                <w:rFonts w:ascii="Times New Roman" w:eastAsia="Times New Roman" w:hAnsi="Times New Roman" w:cs="Times New Roman"/>
                <w:lang w:eastAsia="hu-HU"/>
              </w:rPr>
            </w:pPr>
          </w:p>
        </w:tc>
      </w:tr>
      <w:tr w:rsidR="00A65F8D" w:rsidRPr="00A65F8D" w14:paraId="7B644FC6" w14:textId="77777777" w:rsidTr="00A65F8D">
        <w:trPr>
          <w:trHeight w:val="1133"/>
          <w:jc w:val="center"/>
        </w:trPr>
        <w:tc>
          <w:tcPr>
            <w:tcW w:w="4106" w:type="dxa"/>
            <w:vAlign w:val="center"/>
          </w:tcPr>
          <w:p w14:paraId="30B1B1A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M2.2. 1 fő 266/2013. (VII. 11.) Korm. rendelet 1.  mellékletben meghatározott II. 9. pontja szerinti „Közlekedési építmények tervezési szakterület, közúti építmények tervezési részszakterület” – (jelölés: KÉ-K)</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504DB988"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50D38826"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5E1AE94D"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DD3695">
        <w:rPr>
          <w:rFonts w:ascii="Times New Roman" w:eastAsia="Times New Roman" w:hAnsi="Times New Roman" w:cs="Times New Roman"/>
          <w:b/>
          <w:lang w:eastAsia="hu-HU"/>
        </w:rPr>
        <w:t>Kölcsey utca, Békési utca és Scheiber Sándor utca</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49752476"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D3695">
        <w:rPr>
          <w:rFonts w:ascii="Times New Roman" w:eastAsia="Times New Roman" w:hAnsi="Times New Roman" w:cs="Times New Roman"/>
          <w:b/>
          <w:lang w:eastAsia="hu-HU"/>
        </w:rPr>
        <w:t xml:space="preserve">Kölcsey utca, Békési utca és Scheiber Sándor utca </w:t>
      </w:r>
      <w:r w:rsidRPr="00A65F8D">
        <w:rPr>
          <w:rFonts w:ascii="Times New Roman" w:eastAsia="Times New Roman" w:hAnsi="Times New Roman" w:cs="Times New Roman"/>
          <w:b/>
          <w:lang w:eastAsia="hu-HU"/>
        </w:rPr>
        <w:t xml:space="preserve">megújítása tervezés” </w:t>
      </w:r>
      <w:r w:rsidRPr="00A65F8D">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B533" w14:textId="77777777" w:rsidR="00BA7025" w:rsidRDefault="00BA7025" w:rsidP="00125684">
      <w:pPr>
        <w:spacing w:after="0" w:line="240" w:lineRule="auto"/>
      </w:pPr>
      <w:r>
        <w:separator/>
      </w:r>
    </w:p>
  </w:endnote>
  <w:endnote w:type="continuationSeparator" w:id="0">
    <w:p w14:paraId="794FAAA2" w14:textId="77777777" w:rsidR="00BA7025" w:rsidRDefault="00BA7025"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5C0" w14:textId="0E6F06FD" w:rsidR="00125684" w:rsidRDefault="00125684">
    <w:pPr>
      <w:pStyle w:val="llb"/>
      <w:jc w:val="right"/>
    </w:pPr>
  </w:p>
  <w:p w14:paraId="4C028507" w14:textId="77777777" w:rsidR="00125684" w:rsidRDefault="001256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3954" w14:textId="77777777" w:rsidR="00BA7025" w:rsidRDefault="00BA7025" w:rsidP="00125684">
      <w:pPr>
        <w:spacing w:after="0" w:line="240" w:lineRule="auto"/>
      </w:pPr>
      <w:r>
        <w:separator/>
      </w:r>
    </w:p>
  </w:footnote>
  <w:footnote w:type="continuationSeparator" w:id="0">
    <w:p w14:paraId="56494A33" w14:textId="77777777" w:rsidR="00BA7025" w:rsidRDefault="00BA7025"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93941562">
    <w:abstractNumId w:val="4"/>
  </w:num>
  <w:num w:numId="2" w16cid:durableId="1460954858">
    <w:abstractNumId w:val="3"/>
  </w:num>
  <w:num w:numId="3" w16cid:durableId="2019119170">
    <w:abstractNumId w:val="2"/>
  </w:num>
  <w:num w:numId="4" w16cid:durableId="1106577039">
    <w:abstractNumId w:val="1"/>
  </w:num>
  <w:num w:numId="5" w16cid:durableId="11019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125684"/>
    <w:rsid w:val="00210869"/>
    <w:rsid w:val="0021167E"/>
    <w:rsid w:val="002146DD"/>
    <w:rsid w:val="002A7C61"/>
    <w:rsid w:val="004A05EF"/>
    <w:rsid w:val="00670268"/>
    <w:rsid w:val="0071274E"/>
    <w:rsid w:val="007A56F5"/>
    <w:rsid w:val="008711A9"/>
    <w:rsid w:val="009A7AC1"/>
    <w:rsid w:val="00A65F8D"/>
    <w:rsid w:val="00B80BA3"/>
    <w:rsid w:val="00B92C03"/>
    <w:rsid w:val="00BA66DF"/>
    <w:rsid w:val="00BA7025"/>
    <w:rsid w:val="00BC11ED"/>
    <w:rsid w:val="00D058C9"/>
    <w:rsid w:val="00DD3695"/>
    <w:rsid w:val="00DF5477"/>
    <w:rsid w:val="00E0690A"/>
    <w:rsid w:val="00F05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chartTrackingRefBased/>
  <w15:docId w15:val="{A5953D29-A06D-4FDF-BEE7-CC6D9A4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paragraph" w:styleId="Vltozat">
    <w:name w:val="Revision"/>
    <w:hidden/>
    <w:uiPriority w:val="99"/>
    <w:semiHidden/>
    <w:rsid w:val="0087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1635</Words>
  <Characters>11287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dcterms:created xsi:type="dcterms:W3CDTF">2023-06-14T14:16:00Z</dcterms:created>
  <dcterms:modified xsi:type="dcterms:W3CDTF">2023-06-14T14:16:00Z</dcterms:modified>
</cp:coreProperties>
</file>