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A471" w14:textId="77777777" w:rsidR="00455841" w:rsidRPr="00531692" w:rsidRDefault="00455841" w:rsidP="00455841">
      <w:pPr>
        <w:overflowPunct w:val="0"/>
        <w:autoSpaceDE w:val="0"/>
        <w:autoSpaceDN w:val="0"/>
        <w:adjustRightInd w:val="0"/>
        <w:spacing w:before="120" w:after="0" w:line="276" w:lineRule="auto"/>
        <w:jc w:val="right"/>
        <w:textAlignment w:val="baseline"/>
        <w:rPr>
          <w:rFonts w:ascii="Times New Roman" w:eastAsia="Times New Roman" w:hAnsi="Times New Roman" w:cs="Times New Roman"/>
          <w:bCs/>
          <w:i/>
          <w:kern w:val="0"/>
          <w:lang w:eastAsia="hu-HU"/>
          <w14:ligatures w14:val="none"/>
        </w:rPr>
      </w:pPr>
      <w:r w:rsidRPr="00531692">
        <w:rPr>
          <w:rFonts w:ascii="Times New Roman" w:eastAsia="Times New Roman" w:hAnsi="Times New Roman" w:cs="Times New Roman"/>
          <w:bCs/>
          <w:i/>
          <w:kern w:val="0"/>
          <w:lang w:eastAsia="hu-HU"/>
          <w14:ligatures w14:val="none"/>
        </w:rPr>
        <w:t>Az ajánlati felhívás 2. sz. melléklete</w:t>
      </w:r>
    </w:p>
    <w:p w14:paraId="00535301" w14:textId="77777777" w:rsidR="00455841" w:rsidRPr="00531692" w:rsidRDefault="00455841" w:rsidP="00455841">
      <w:pPr>
        <w:overflowPunct w:val="0"/>
        <w:autoSpaceDE w:val="0"/>
        <w:autoSpaceDN w:val="0"/>
        <w:adjustRightInd w:val="0"/>
        <w:spacing w:before="120" w:after="0" w:line="276" w:lineRule="auto"/>
        <w:jc w:val="both"/>
        <w:textAlignment w:val="baseline"/>
        <w:rPr>
          <w:rFonts w:ascii="Times New Roman" w:eastAsia="Times New Roman" w:hAnsi="Times New Roman" w:cs="Times New Roman"/>
          <w:kern w:val="0"/>
          <w:lang w:eastAsia="hu-HU"/>
          <w14:ligatures w14:val="none"/>
        </w:rPr>
      </w:pPr>
    </w:p>
    <w:p w14:paraId="17A3F993" w14:textId="77777777" w:rsidR="00455841" w:rsidRPr="00531692" w:rsidRDefault="00455841" w:rsidP="00455841">
      <w:pPr>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lang w:eastAsia="hu-HU"/>
          <w14:ligatures w14:val="none"/>
        </w:rPr>
      </w:pPr>
      <w:r w:rsidRPr="00531692">
        <w:rPr>
          <w:rFonts w:ascii="Times New Roman" w:eastAsia="Times New Roman" w:hAnsi="Times New Roman" w:cs="Times New Roman"/>
          <w:b/>
          <w:kern w:val="0"/>
          <w:lang w:eastAsia="hu-HU"/>
          <w14:ligatures w14:val="none"/>
        </w:rPr>
        <w:t>Nyilatkozat</w:t>
      </w:r>
    </w:p>
    <w:p w14:paraId="08AA3654" w14:textId="77777777" w:rsidR="00455841" w:rsidRPr="00531692" w:rsidRDefault="00455841" w:rsidP="00455841">
      <w:pPr>
        <w:suppressAutoHyphens/>
        <w:overflowPunct w:val="0"/>
        <w:autoSpaceDE w:val="0"/>
        <w:autoSpaceDN w:val="0"/>
        <w:adjustRightInd w:val="0"/>
        <w:spacing w:before="120" w:after="0" w:line="276" w:lineRule="auto"/>
        <w:jc w:val="center"/>
        <w:textAlignment w:val="baseline"/>
        <w:rPr>
          <w:rFonts w:ascii="Times New Roman" w:eastAsia="Times New Roman" w:hAnsi="Times New Roman" w:cs="Times New Roman"/>
          <w:b/>
          <w:kern w:val="0"/>
          <w:lang w:eastAsia="hu-HU"/>
          <w14:ligatures w14:val="none"/>
        </w:rPr>
      </w:pPr>
      <w:r w:rsidRPr="00531692">
        <w:rPr>
          <w:rFonts w:ascii="Times New Roman" w:eastAsia="Times New Roman" w:hAnsi="Times New Roman" w:cs="Times New Roman"/>
          <w:b/>
          <w:kern w:val="0"/>
          <w:lang w:eastAsia="hu-HU"/>
          <w14:ligatures w14:val="none"/>
        </w:rPr>
        <w:t>„Budapest Főváros VIII. kerület Józsefváros Önkormányzata Fenntartható Energia- és Klíma Akcióterv</w:t>
      </w:r>
      <w:r>
        <w:rPr>
          <w:rFonts w:ascii="Times New Roman" w:eastAsia="Times New Roman" w:hAnsi="Times New Roman" w:cs="Times New Roman"/>
          <w:b/>
          <w:kern w:val="0"/>
          <w:lang w:eastAsia="hu-HU"/>
          <w14:ligatures w14:val="none"/>
        </w:rPr>
        <w:t>ének</w:t>
      </w:r>
      <w:r w:rsidRPr="00531692">
        <w:rPr>
          <w:rFonts w:ascii="Times New Roman" w:eastAsia="Times New Roman" w:hAnsi="Times New Roman" w:cs="Times New Roman"/>
          <w:b/>
          <w:kern w:val="0"/>
          <w:lang w:eastAsia="hu-HU"/>
          <w14:ligatures w14:val="none"/>
        </w:rPr>
        <w:t xml:space="preserve"> (SECAP) felülvizsgálata” </w:t>
      </w:r>
    </w:p>
    <w:p w14:paraId="04F2DFA9" w14:textId="77777777" w:rsidR="00455841" w:rsidRPr="00531692" w:rsidRDefault="00455841" w:rsidP="00455841">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bCs/>
          <w:kern w:val="0"/>
          <w:lang w:eastAsia="hu-HU"/>
          <w14:ligatures w14:val="none"/>
        </w:rPr>
      </w:pPr>
      <w:r w:rsidRPr="00531692">
        <w:rPr>
          <w:rFonts w:ascii="Times New Roman" w:eastAsia="Times New Roman" w:hAnsi="Times New Roman" w:cs="Times New Roman"/>
          <w:bCs/>
          <w:kern w:val="0"/>
          <w:lang w:eastAsia="hu-HU"/>
          <w14:ligatures w14:val="none"/>
        </w:rPr>
        <w:t xml:space="preserve">tárgyú, közbeszerzési értékhatárt el nem érő </w:t>
      </w:r>
      <w:r w:rsidRPr="1295B212">
        <w:rPr>
          <w:rFonts w:ascii="Times New Roman" w:eastAsia="Times New Roman" w:hAnsi="Times New Roman" w:cs="Times New Roman"/>
          <w:kern w:val="0"/>
          <w:lang w:eastAsia="hu-HU"/>
          <w14:ligatures w14:val="none"/>
        </w:rPr>
        <w:t xml:space="preserve">nyílt </w:t>
      </w:r>
      <w:r w:rsidRPr="00531692">
        <w:rPr>
          <w:rFonts w:ascii="Times New Roman" w:eastAsia="Times New Roman" w:hAnsi="Times New Roman" w:cs="Times New Roman"/>
          <w:bCs/>
          <w:kern w:val="0"/>
          <w:lang w:eastAsia="hu-HU"/>
          <w14:ligatures w14:val="none"/>
        </w:rPr>
        <w:t>beszerzési eljárásban</w:t>
      </w:r>
    </w:p>
    <w:p w14:paraId="747B0354" w14:textId="77777777" w:rsidR="00455841" w:rsidRPr="00531692" w:rsidRDefault="00455841" w:rsidP="00455841">
      <w:pPr>
        <w:overflowPunct w:val="0"/>
        <w:autoSpaceDE w:val="0"/>
        <w:autoSpaceDN w:val="0"/>
        <w:adjustRightInd w:val="0"/>
        <w:spacing w:after="0" w:line="276" w:lineRule="auto"/>
        <w:ind w:left="360"/>
        <w:jc w:val="center"/>
        <w:textAlignment w:val="baseline"/>
        <w:rPr>
          <w:rFonts w:ascii="Times New Roman" w:eastAsia="Times New Roman" w:hAnsi="Times New Roman" w:cs="Times New Roman"/>
          <w:kern w:val="0"/>
          <w:lang w:eastAsia="hu-HU"/>
          <w14:ligatures w14:val="none"/>
        </w:rPr>
      </w:pPr>
    </w:p>
    <w:p w14:paraId="2E3BB4F8" w14:textId="77777777" w:rsidR="00455841" w:rsidRPr="00531692" w:rsidRDefault="00455841" w:rsidP="00455841">
      <w:pPr>
        <w:overflowPunct w:val="0"/>
        <w:autoSpaceDE w:val="0"/>
        <w:autoSpaceDN w:val="0"/>
        <w:adjustRightInd w:val="0"/>
        <w:spacing w:after="0" w:line="276" w:lineRule="auto"/>
        <w:ind w:left="360"/>
        <w:jc w:val="center"/>
        <w:textAlignment w:val="baseline"/>
        <w:rPr>
          <w:rFonts w:ascii="Times New Roman" w:eastAsia="Times New Roman" w:hAnsi="Times New Roman" w:cs="Times New Roman"/>
          <w:kern w:val="0"/>
          <w:lang w:eastAsia="hu-HU"/>
          <w14:ligatures w14:val="none"/>
        </w:rPr>
      </w:pPr>
    </w:p>
    <w:p w14:paraId="439A5919" w14:textId="77777777" w:rsidR="00455841" w:rsidRPr="00582309" w:rsidRDefault="00455841" w:rsidP="00455841">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color w:val="000000"/>
          <w:kern w:val="0"/>
          <w:lang w:eastAsia="hu-HU"/>
          <w14:ligatures w14:val="none"/>
        </w:rPr>
        <w:t>Alulírott …………………….. társaság (ajánlattevő), melyet képvisel: ……………………………</w:t>
      </w:r>
    </w:p>
    <w:p w14:paraId="1358E71B" w14:textId="77777777" w:rsidR="00455841" w:rsidRPr="00582309" w:rsidRDefault="00455841" w:rsidP="00455841">
      <w:pPr>
        <w:overflowPunct w:val="0"/>
        <w:autoSpaceDE w:val="0"/>
        <w:autoSpaceDN w:val="0"/>
        <w:adjustRightInd w:val="0"/>
        <w:spacing w:after="0" w:line="276" w:lineRule="auto"/>
        <w:jc w:val="center"/>
        <w:textAlignment w:val="baseline"/>
        <w:rPr>
          <w:rFonts w:ascii="Times New Roman" w:eastAsia="Times New Roman" w:hAnsi="Times New Roman" w:cs="Times New Roman"/>
          <w:b/>
          <w:color w:val="000000"/>
          <w:kern w:val="0"/>
          <w:lang w:eastAsia="hu-HU"/>
          <w14:ligatures w14:val="none"/>
        </w:rPr>
      </w:pPr>
    </w:p>
    <w:p w14:paraId="54A6B42D" w14:textId="77777777" w:rsidR="00455841" w:rsidRPr="00582309" w:rsidRDefault="00455841" w:rsidP="00455841">
      <w:pPr>
        <w:overflowPunct w:val="0"/>
        <w:autoSpaceDE w:val="0"/>
        <w:autoSpaceDN w:val="0"/>
        <w:adjustRightInd w:val="0"/>
        <w:spacing w:after="0" w:line="276" w:lineRule="auto"/>
        <w:jc w:val="center"/>
        <w:textAlignment w:val="baseline"/>
        <w:rPr>
          <w:rFonts w:ascii="Times New Roman" w:eastAsia="Times New Roman" w:hAnsi="Times New Roman" w:cs="Times New Roman"/>
          <w:b/>
          <w:color w:val="000000"/>
          <w:kern w:val="0"/>
          <w:lang w:eastAsia="hu-HU"/>
          <w14:ligatures w14:val="none"/>
        </w:rPr>
      </w:pPr>
      <w:r w:rsidRPr="00582309">
        <w:rPr>
          <w:rFonts w:ascii="Times New Roman" w:eastAsia="Times New Roman" w:hAnsi="Times New Roman" w:cs="Times New Roman"/>
          <w:b/>
          <w:color w:val="000000"/>
          <w:kern w:val="0"/>
          <w:lang w:eastAsia="hu-HU"/>
          <w14:ligatures w14:val="none"/>
        </w:rPr>
        <w:t>az alábbi nyilatkozatot tesszük:</w:t>
      </w:r>
    </w:p>
    <w:p w14:paraId="1A5AF31F"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kern w:val="0"/>
          <w:lang w:eastAsia="hu-HU"/>
          <w14:ligatures w14:val="none"/>
        </w:rPr>
      </w:pPr>
    </w:p>
    <w:p w14:paraId="2E2DBEC2"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bCs/>
          <w:color w:val="000000"/>
          <w:kern w:val="0"/>
          <w:lang w:eastAsia="hu-HU"/>
          <w14:ligatures w14:val="none"/>
        </w:rPr>
      </w:pPr>
      <w:r w:rsidRPr="00582309">
        <w:rPr>
          <w:rFonts w:ascii="Times New Roman" w:eastAsia="Times New Roman" w:hAnsi="Times New Roman" w:cs="Times New Roman"/>
          <w:color w:val="000000"/>
          <w:kern w:val="0"/>
          <w:lang w:eastAsia="hu-HU"/>
          <w14:ligatures w14:val="none"/>
        </w:rPr>
        <w:t xml:space="preserve">Nem állnak fenn velem / velünk szemben az alábbi </w:t>
      </w:r>
      <w:r w:rsidRPr="00582309">
        <w:rPr>
          <w:rFonts w:ascii="Times New Roman" w:eastAsia="Times New Roman" w:hAnsi="Times New Roman" w:cs="Times New Roman"/>
          <w:bCs/>
          <w:color w:val="000000"/>
          <w:kern w:val="0"/>
          <w:lang w:eastAsia="hu-HU"/>
          <w14:ligatures w14:val="none"/>
        </w:rPr>
        <w:t>kizáró okok, mely szerint nem lehet ajánlattevő, aki:</w:t>
      </w:r>
    </w:p>
    <w:p w14:paraId="2BFBF1CB"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color w:val="000000"/>
          <w:kern w:val="0"/>
          <w:lang w:eastAsia="hu-HU"/>
          <w14:ligatures w14:val="none"/>
        </w:rPr>
        <w:t>Az eljárásban nem lehet ajánlattevő, alvállalkozó, és nem vehet részt alkalmasság igazolásában olyan gazdasági szereplő, aki</w:t>
      </w:r>
    </w:p>
    <w:p w14:paraId="7B77C000"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a) </w:t>
      </w:r>
      <w:r w:rsidRPr="00582309">
        <w:rPr>
          <w:rFonts w:ascii="Times New Roman" w:eastAsia="Times New Roman" w:hAnsi="Times New Roman" w:cs="Times New Roman"/>
          <w:color w:val="000000"/>
          <w:kern w:val="0"/>
          <w:lang w:eastAsia="hu-HU"/>
          <w14:ligatures w14:val="none"/>
        </w:rPr>
        <w:t>az alábbi bűncselekmények valamelyikét elkövette, és a bűncselekmény elkövetése az elmúlt öt évben jogerős bírósági ítéletben megállapítást nyert, amíg a büntetett előélethez fűződő hátrányok alól nem mentesült:</w:t>
      </w:r>
    </w:p>
    <w:p w14:paraId="3C0DB63D"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aa) </w:t>
      </w:r>
      <w:r w:rsidRPr="00582309">
        <w:rPr>
          <w:rFonts w:ascii="Times New Roman" w:eastAsia="Times New Roman" w:hAnsi="Times New Roman" w:cs="Times New Roman"/>
          <w:color w:val="000000"/>
          <w:kern w:val="0"/>
          <w:lang w:eastAsia="hu-HU"/>
          <w14:ligatures w14:val="none"/>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75150DE9"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ab) </w:t>
      </w:r>
      <w:r w:rsidRPr="00582309">
        <w:rPr>
          <w:rFonts w:ascii="Times New Roman" w:eastAsia="Times New Roman" w:hAnsi="Times New Roman" w:cs="Times New Roman"/>
          <w:color w:val="000000"/>
          <w:kern w:val="0"/>
          <w:lang w:eastAsia="hu-HU"/>
          <w14:ligatures w14:val="none"/>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43C395FC"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ac) </w:t>
      </w:r>
      <w:r w:rsidRPr="00582309">
        <w:rPr>
          <w:rFonts w:ascii="Times New Roman" w:eastAsia="Times New Roman" w:hAnsi="Times New Roman" w:cs="Times New Roman"/>
          <w:color w:val="000000"/>
          <w:kern w:val="0"/>
          <w:lang w:eastAsia="hu-HU"/>
          <w14:ligatures w14:val="none"/>
        </w:rPr>
        <w:t>az 1978. évi IV. törvény szerinti költségvetési csalás, európai közösségek pénzügyi érdekeinek megsértése, illetve a Btk. szerinti költségvetési csalás;</w:t>
      </w:r>
    </w:p>
    <w:p w14:paraId="415DC594"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ad) </w:t>
      </w:r>
      <w:r w:rsidRPr="00582309">
        <w:rPr>
          <w:rFonts w:ascii="Times New Roman" w:eastAsia="Times New Roman" w:hAnsi="Times New Roman" w:cs="Times New Roman"/>
          <w:color w:val="000000"/>
          <w:kern w:val="0"/>
          <w:lang w:eastAsia="hu-HU"/>
          <w14:ligatures w14:val="none"/>
        </w:rPr>
        <w:t>az 1978. évi IV. törvény, illetve a Btk. szerinti terrorcselekmény, valamint ehhez kapcsolódó felbujtás, bűnsegély vagy kísérlet;</w:t>
      </w:r>
    </w:p>
    <w:p w14:paraId="4571A139"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ae) </w:t>
      </w:r>
      <w:r w:rsidRPr="00582309">
        <w:rPr>
          <w:rFonts w:ascii="Times New Roman" w:eastAsia="Times New Roman" w:hAnsi="Times New Roman" w:cs="Times New Roman"/>
          <w:color w:val="000000"/>
          <w:kern w:val="0"/>
          <w:lang w:eastAsia="hu-HU"/>
          <w14:ligatures w14:val="none"/>
        </w:rPr>
        <w:t>az 1978. évi IV. törvény, illetve a Btk. szerinti pénzmosás, valamint a Btk. szerinti terrorizmus finanszírozása;</w:t>
      </w:r>
    </w:p>
    <w:p w14:paraId="3342D51C"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af) </w:t>
      </w:r>
      <w:r w:rsidRPr="00582309">
        <w:rPr>
          <w:rFonts w:ascii="Times New Roman" w:eastAsia="Times New Roman" w:hAnsi="Times New Roman" w:cs="Times New Roman"/>
          <w:color w:val="000000"/>
          <w:kern w:val="0"/>
          <w:lang w:eastAsia="hu-HU"/>
          <w14:ligatures w14:val="none"/>
        </w:rPr>
        <w:t>az 1978. évi IV. törvény, illetve a Btk. szerinti emberkereskedelem, valamint a Btk. szerinti kényszermunka;</w:t>
      </w:r>
    </w:p>
    <w:p w14:paraId="25F65F00"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ag) </w:t>
      </w:r>
      <w:r w:rsidRPr="00582309">
        <w:rPr>
          <w:rFonts w:ascii="Times New Roman" w:eastAsia="Times New Roman" w:hAnsi="Times New Roman" w:cs="Times New Roman"/>
          <w:color w:val="000000"/>
          <w:kern w:val="0"/>
          <w:lang w:eastAsia="hu-HU"/>
          <w14:ligatures w14:val="none"/>
        </w:rPr>
        <w:t>az 1978. évi IV. törvény, illetve a Btk. szerinti versenyt korlátozó megállapodás közbeszerzési és koncessziós eljárásban;</w:t>
      </w:r>
    </w:p>
    <w:p w14:paraId="77A755F1"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ah) </w:t>
      </w:r>
      <w:r w:rsidRPr="00582309">
        <w:rPr>
          <w:rFonts w:ascii="Times New Roman" w:eastAsia="Times New Roman" w:hAnsi="Times New Roman" w:cs="Times New Roman"/>
          <w:color w:val="000000"/>
          <w:kern w:val="0"/>
          <w:lang w:eastAsia="hu-HU"/>
          <w14:ligatures w14:val="none"/>
        </w:rPr>
        <w:t xml:space="preserve">a gazdasági szereplő személyes joga szerinti, az </w:t>
      </w:r>
      <w:r w:rsidRPr="00582309">
        <w:rPr>
          <w:rFonts w:ascii="Times New Roman" w:eastAsia="Times New Roman" w:hAnsi="Times New Roman" w:cs="Times New Roman"/>
          <w:i/>
          <w:iCs/>
          <w:color w:val="000000"/>
          <w:kern w:val="0"/>
          <w:lang w:eastAsia="hu-HU"/>
          <w14:ligatures w14:val="none"/>
        </w:rPr>
        <w:t xml:space="preserve">a)-g) </w:t>
      </w:r>
      <w:r w:rsidRPr="00582309">
        <w:rPr>
          <w:rFonts w:ascii="Times New Roman" w:eastAsia="Times New Roman" w:hAnsi="Times New Roman" w:cs="Times New Roman"/>
          <w:color w:val="000000"/>
          <w:kern w:val="0"/>
          <w:lang w:eastAsia="hu-HU"/>
          <w14:ligatures w14:val="none"/>
        </w:rPr>
        <w:t>pontokban felsoroltakhoz hasonló bűncselekmény;</w:t>
      </w:r>
    </w:p>
    <w:p w14:paraId="699901AC"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b) </w:t>
      </w:r>
      <w:r w:rsidRPr="00582309">
        <w:rPr>
          <w:rFonts w:ascii="Times New Roman" w:eastAsia="Times New Roman" w:hAnsi="Times New Roman" w:cs="Times New Roman"/>
          <w:color w:val="000000"/>
          <w:kern w:val="0"/>
          <w:lang w:eastAsia="hu-HU"/>
          <w14:ligatures w14:val="none"/>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2DE21EE5"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c) </w:t>
      </w:r>
      <w:r w:rsidRPr="00582309">
        <w:rPr>
          <w:rFonts w:ascii="Times New Roman" w:eastAsia="Times New Roman" w:hAnsi="Times New Roman" w:cs="Times New Roman"/>
          <w:color w:val="000000"/>
          <w:kern w:val="0"/>
          <w:lang w:eastAsia="hu-HU"/>
          <w14:ligatures w14:val="none"/>
        </w:rPr>
        <w:t xml:space="preserve">végelszámolás alatt áll, vonatkozásában csődeljárás elrendeléséről szóló bírósági végzést közzétettek, az ellene indított felszámolási eljárást jogerősen elrendelték, vagy ha a gazdasági </w:t>
      </w:r>
      <w:r w:rsidRPr="00582309">
        <w:rPr>
          <w:rFonts w:ascii="Times New Roman" w:eastAsia="Times New Roman" w:hAnsi="Times New Roman" w:cs="Times New Roman"/>
          <w:color w:val="000000"/>
          <w:kern w:val="0"/>
          <w:lang w:eastAsia="hu-HU"/>
          <w14:ligatures w14:val="none"/>
        </w:rPr>
        <w:lastRenderedPageBreak/>
        <w:t>szereplő személyes joga szerinti hasonló eljárás van folyamatban, vagy aki személyes joga szerint hasonló helyzetben van;</w:t>
      </w:r>
    </w:p>
    <w:p w14:paraId="56C7F0E3"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d) </w:t>
      </w:r>
      <w:r w:rsidRPr="00582309">
        <w:rPr>
          <w:rFonts w:ascii="Times New Roman" w:eastAsia="Times New Roman" w:hAnsi="Times New Roman" w:cs="Times New Roman"/>
          <w:color w:val="000000"/>
          <w:kern w:val="0"/>
          <w:lang w:eastAsia="hu-HU"/>
          <w14:ligatures w14:val="none"/>
        </w:rPr>
        <w:t>tevékenységét felfüggesztette vagy akinek tevékenységét felfüggesztették;</w:t>
      </w:r>
    </w:p>
    <w:p w14:paraId="4F71090F"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e) </w:t>
      </w:r>
      <w:r w:rsidRPr="00582309">
        <w:rPr>
          <w:rFonts w:ascii="Times New Roman" w:eastAsia="Times New Roman" w:hAnsi="Times New Roman" w:cs="Times New Roman"/>
          <w:color w:val="000000"/>
          <w:kern w:val="0"/>
          <w:lang w:eastAsia="hu-HU"/>
          <w14:ligatures w14:val="none"/>
        </w:rPr>
        <w:t>gazdasági, illetve szakmai tevékenységével kapcsolatban bűncselekmény elkövetése az elmúlt három éven belül jogerős bírósági ítéletben megállapítást nyert;</w:t>
      </w:r>
    </w:p>
    <w:p w14:paraId="3E756110"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f) </w:t>
      </w:r>
      <w:r w:rsidRPr="00582309">
        <w:rPr>
          <w:rFonts w:ascii="Times New Roman" w:eastAsia="Times New Roman" w:hAnsi="Times New Roman" w:cs="Times New Roman"/>
          <w:color w:val="000000"/>
          <w:kern w:val="0"/>
          <w:lang w:eastAsia="hu-HU"/>
          <w14:ligatures w14:val="none"/>
        </w:rPr>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381969C5"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g) </w:t>
      </w:r>
      <w:r w:rsidRPr="00582309">
        <w:rPr>
          <w:rFonts w:ascii="Times New Roman" w:eastAsia="Times New Roman" w:hAnsi="Times New Roman" w:cs="Times New Roman"/>
          <w:color w:val="000000"/>
          <w:kern w:val="0"/>
          <w:lang w:eastAsia="hu-HU"/>
          <w14:ligatures w14:val="none"/>
        </w:rPr>
        <w:t>tekintetében a következő feltételek valamelyike megvalósul:</w:t>
      </w:r>
    </w:p>
    <w:p w14:paraId="41FB84EE"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ga) </w:t>
      </w:r>
      <w:r w:rsidRPr="00582309">
        <w:rPr>
          <w:rFonts w:ascii="Times New Roman" w:eastAsia="Times New Roman" w:hAnsi="Times New Roman" w:cs="Times New Roman"/>
          <w:color w:val="000000"/>
          <w:kern w:val="0"/>
          <w:lang w:eastAsia="hu-HU"/>
          <w14:ligatures w14:val="none"/>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69277A8C"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gb) </w:t>
      </w:r>
      <w:r w:rsidRPr="00582309">
        <w:rPr>
          <w:rFonts w:ascii="Times New Roman" w:eastAsia="Times New Roman" w:hAnsi="Times New Roman" w:cs="Times New Roman"/>
          <w:color w:val="000000"/>
          <w:kern w:val="0"/>
          <w:lang w:eastAsia="hu-HU"/>
          <w14:ligatures w14:val="none"/>
        </w:rPr>
        <w:t>olyan szabályozott tőzsdén nem jegyzett társaság, amely a pénzmosás és a terrorizmus finanszírozása megelőzéséről és megakadályozásáról szóló 2017. évi LIII. törvény 3. § 38. tényleges tulajdonos pont a)-d) alpontja szerinti tényleges tulajdonosát nem képes megnevezni, vagy</w:t>
      </w:r>
    </w:p>
    <w:p w14:paraId="2A952FC4"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 xml:space="preserve">gc) </w:t>
      </w:r>
      <w:r w:rsidRPr="00582309">
        <w:rPr>
          <w:rFonts w:ascii="Times New Roman" w:eastAsia="Times New Roman" w:hAnsi="Times New Roman" w:cs="Times New Roman"/>
          <w:color w:val="000000"/>
          <w:kern w:val="0"/>
          <w:lang w:eastAsia="hu-HU"/>
          <w14:ligatures w14:val="none"/>
        </w:rPr>
        <w:t xml:space="preserve">a gazdasági szereplőben közvetetten vagy közvetlenül több, mint 25%-os tulajdoni résszel vagy szavazati joggal rendelkezik olyan jogi személy vagy személyes joga szerint jogképes szervezet, amelynek tekintetében a </w:t>
      </w:r>
      <w:r w:rsidRPr="00582309">
        <w:rPr>
          <w:rFonts w:ascii="Times New Roman" w:eastAsia="Times New Roman" w:hAnsi="Times New Roman" w:cs="Times New Roman"/>
          <w:i/>
          <w:iCs/>
          <w:color w:val="000000"/>
          <w:kern w:val="0"/>
          <w:lang w:eastAsia="hu-HU"/>
          <w14:ligatures w14:val="none"/>
        </w:rPr>
        <w:t xml:space="preserve">gb) </w:t>
      </w:r>
      <w:r w:rsidRPr="00582309">
        <w:rPr>
          <w:rFonts w:ascii="Times New Roman" w:eastAsia="Times New Roman" w:hAnsi="Times New Roman" w:cs="Times New Roman"/>
          <w:color w:val="000000"/>
          <w:kern w:val="0"/>
          <w:lang w:eastAsia="hu-HU"/>
          <w14:ligatures w14:val="none"/>
        </w:rPr>
        <w:t>alpont szerinti feltétel fennáll;</w:t>
      </w:r>
    </w:p>
    <w:p w14:paraId="3856430D"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i/>
          <w:iCs/>
          <w:color w:val="000000"/>
          <w:kern w:val="0"/>
          <w:lang w:eastAsia="hu-HU"/>
          <w14:ligatures w14:val="none"/>
        </w:rPr>
        <w:t>h)</w:t>
      </w:r>
      <w:r w:rsidRPr="00582309">
        <w:rPr>
          <w:rFonts w:ascii="Times New Roman" w:eastAsia="Times New Roman" w:hAnsi="Times New Roman" w:cs="Times New Roman"/>
          <w:color w:val="000000"/>
          <w:kern w:val="0"/>
          <w:lang w:eastAsia="hu-HU"/>
          <w14:ligatures w14:val="none"/>
        </w:rPr>
        <w:t xml:space="preserve">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14:paraId="6057232F"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p>
    <w:p w14:paraId="09EDBDA2"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color w:val="000000"/>
          <w:kern w:val="0"/>
          <w:lang w:eastAsia="hu-HU"/>
          <w14:ligatures w14:val="none"/>
        </w:rPr>
        <w:t>Nyilatkozom, hogy az általam képviselt szervezet az államháztartásról szóló 2011. évi CXCV. törvény 41.§ (6) bekezdése szerint átlátható szervezetnek minősül, figyelemmel a törvény 1.§ 4. pontjára.</w:t>
      </w:r>
    </w:p>
    <w:p w14:paraId="0090B77D"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kern w:val="0"/>
          <w:lang w:eastAsia="hu-HU"/>
          <w14:ligatures w14:val="none"/>
        </w:rPr>
      </w:pPr>
    </w:p>
    <w:p w14:paraId="4ADBDC66"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p>
    <w:p w14:paraId="6FA3126A"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color w:val="000000"/>
          <w:kern w:val="0"/>
          <w:lang w:eastAsia="hu-HU"/>
          <w14:ligatures w14:val="none"/>
        </w:rPr>
        <w:t>Kelt: ……………………………..</w:t>
      </w:r>
    </w:p>
    <w:p w14:paraId="5E065E3F"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p>
    <w:p w14:paraId="355A8CE6"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p>
    <w:p w14:paraId="6DDC309D" w14:textId="77777777" w:rsidR="00455841" w:rsidRPr="00582309" w:rsidRDefault="00455841" w:rsidP="0045584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p>
    <w:tbl>
      <w:tblPr>
        <w:tblW w:w="0" w:type="auto"/>
        <w:tblInd w:w="4890" w:type="dxa"/>
        <w:tblCellMar>
          <w:left w:w="70" w:type="dxa"/>
          <w:right w:w="70" w:type="dxa"/>
        </w:tblCellMar>
        <w:tblLook w:val="04A0" w:firstRow="1" w:lastRow="0" w:firstColumn="1" w:lastColumn="0" w:noHBand="0" w:noVBand="1"/>
      </w:tblPr>
      <w:tblGrid>
        <w:gridCol w:w="3260"/>
      </w:tblGrid>
      <w:tr w:rsidR="00455841" w:rsidRPr="00582309" w14:paraId="6FA7CBB0" w14:textId="77777777" w:rsidTr="00781213">
        <w:trPr>
          <w:trHeight w:val="32"/>
        </w:trPr>
        <w:tc>
          <w:tcPr>
            <w:tcW w:w="0" w:type="auto"/>
          </w:tcPr>
          <w:p w14:paraId="3341E7CE" w14:textId="77777777" w:rsidR="00455841" w:rsidRPr="00582309" w:rsidRDefault="00455841" w:rsidP="0078121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sidRPr="00582309">
              <w:rPr>
                <w:rFonts w:ascii="Times New Roman" w:eastAsia="Times New Roman" w:hAnsi="Times New Roman" w:cs="Times New Roman"/>
                <w:color w:val="000000"/>
                <w:kern w:val="0"/>
                <w:lang w:eastAsia="hu-HU"/>
                <w14:ligatures w14:val="none"/>
              </w:rPr>
              <w:t>…………………………………</w:t>
            </w:r>
          </w:p>
          <w:p w14:paraId="33045F2A" w14:textId="64E57F36" w:rsidR="00455841" w:rsidRPr="00582309" w:rsidRDefault="00455841" w:rsidP="0078121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r>
              <w:rPr>
                <w:rFonts w:ascii="Times New Roman" w:eastAsia="Times New Roman" w:hAnsi="Times New Roman" w:cs="Times New Roman"/>
                <w:color w:val="000000"/>
                <w:kern w:val="0"/>
                <w:lang w:eastAsia="hu-HU"/>
                <w14:ligatures w14:val="none"/>
              </w:rPr>
              <w:t xml:space="preserve">          </w:t>
            </w:r>
            <w:r w:rsidRPr="00582309">
              <w:rPr>
                <w:rFonts w:ascii="Times New Roman" w:eastAsia="Times New Roman" w:hAnsi="Times New Roman" w:cs="Times New Roman"/>
                <w:color w:val="000000"/>
                <w:kern w:val="0"/>
                <w:lang w:eastAsia="hu-HU"/>
                <w14:ligatures w14:val="none"/>
              </w:rPr>
              <w:t>cégszerű aláírás</w:t>
            </w:r>
          </w:p>
          <w:p w14:paraId="49C397EA" w14:textId="77777777" w:rsidR="00455841" w:rsidRPr="00582309" w:rsidRDefault="00455841" w:rsidP="0078121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kern w:val="0"/>
                <w:lang w:eastAsia="hu-HU"/>
                <w14:ligatures w14:val="none"/>
              </w:rPr>
            </w:pPr>
          </w:p>
        </w:tc>
      </w:tr>
    </w:tbl>
    <w:p w14:paraId="6F15982A" w14:textId="77777777" w:rsidR="00F92733" w:rsidRDefault="00F92733"/>
    <w:sectPr w:rsidR="00F92733" w:rsidSect="007D5E59">
      <w:pgSz w:w="11906" w:h="16838"/>
      <w:pgMar w:top="130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41"/>
    <w:rsid w:val="00197A31"/>
    <w:rsid w:val="001A0712"/>
    <w:rsid w:val="001B43B8"/>
    <w:rsid w:val="00455841"/>
    <w:rsid w:val="00713619"/>
    <w:rsid w:val="007D5E59"/>
    <w:rsid w:val="009C7606"/>
    <w:rsid w:val="00F927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6ECB"/>
  <w15:chartTrackingRefBased/>
  <w15:docId w15:val="{3323112B-EDFD-4DAC-9601-D5E78CD8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55841"/>
  </w:style>
  <w:style w:type="paragraph" w:styleId="Cmsor1">
    <w:name w:val="heading 1"/>
    <w:basedOn w:val="Norml"/>
    <w:next w:val="Norml"/>
    <w:link w:val="Cmsor1Char"/>
    <w:uiPriority w:val="9"/>
    <w:qFormat/>
    <w:rsid w:val="00455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55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5584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5584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5584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5584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5584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5584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5584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5584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558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5584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5584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5584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5584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5584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5584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55841"/>
    <w:rPr>
      <w:rFonts w:eastAsiaTheme="majorEastAsia" w:cstheme="majorBidi"/>
      <w:color w:val="272727" w:themeColor="text1" w:themeTint="D8"/>
    </w:rPr>
  </w:style>
  <w:style w:type="paragraph" w:styleId="Cm">
    <w:name w:val="Title"/>
    <w:basedOn w:val="Norml"/>
    <w:next w:val="Norml"/>
    <w:link w:val="CmChar"/>
    <w:uiPriority w:val="10"/>
    <w:qFormat/>
    <w:rsid w:val="00455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5584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5584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5584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55841"/>
    <w:pPr>
      <w:spacing w:before="160"/>
      <w:jc w:val="center"/>
    </w:pPr>
    <w:rPr>
      <w:i/>
      <w:iCs/>
      <w:color w:val="404040" w:themeColor="text1" w:themeTint="BF"/>
    </w:rPr>
  </w:style>
  <w:style w:type="character" w:customStyle="1" w:styleId="IdzetChar">
    <w:name w:val="Idézet Char"/>
    <w:basedOn w:val="Bekezdsalapbettpusa"/>
    <w:link w:val="Idzet"/>
    <w:uiPriority w:val="29"/>
    <w:rsid w:val="00455841"/>
    <w:rPr>
      <w:i/>
      <w:iCs/>
      <w:color w:val="404040" w:themeColor="text1" w:themeTint="BF"/>
    </w:rPr>
  </w:style>
  <w:style w:type="paragraph" w:styleId="Listaszerbekezds">
    <w:name w:val="List Paragraph"/>
    <w:basedOn w:val="Norml"/>
    <w:uiPriority w:val="34"/>
    <w:qFormat/>
    <w:rsid w:val="00455841"/>
    <w:pPr>
      <w:ind w:left="720"/>
      <w:contextualSpacing/>
    </w:pPr>
  </w:style>
  <w:style w:type="character" w:styleId="Erskiemels">
    <w:name w:val="Intense Emphasis"/>
    <w:basedOn w:val="Bekezdsalapbettpusa"/>
    <w:uiPriority w:val="21"/>
    <w:qFormat/>
    <w:rsid w:val="00455841"/>
    <w:rPr>
      <w:i/>
      <w:iCs/>
      <w:color w:val="0F4761" w:themeColor="accent1" w:themeShade="BF"/>
    </w:rPr>
  </w:style>
  <w:style w:type="paragraph" w:styleId="Kiemeltidzet">
    <w:name w:val="Intense Quote"/>
    <w:basedOn w:val="Norml"/>
    <w:next w:val="Norml"/>
    <w:link w:val="KiemeltidzetChar"/>
    <w:uiPriority w:val="30"/>
    <w:qFormat/>
    <w:rsid w:val="00455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55841"/>
    <w:rPr>
      <w:i/>
      <w:iCs/>
      <w:color w:val="0F4761" w:themeColor="accent1" w:themeShade="BF"/>
    </w:rPr>
  </w:style>
  <w:style w:type="character" w:styleId="Ershivatkozs">
    <w:name w:val="Intense Reference"/>
    <w:basedOn w:val="Bekezdsalapbettpusa"/>
    <w:uiPriority w:val="32"/>
    <w:qFormat/>
    <w:rsid w:val="004558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4835</Characters>
  <Application>Microsoft Office Word</Application>
  <DocSecurity>0</DocSecurity>
  <Lines>40</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Kraxner Anna</dc:creator>
  <cp:keywords/>
  <dc:description/>
  <cp:lastModifiedBy>Kraxner Anna</cp:lastModifiedBy>
  <cp:revision>3</cp:revision>
  <dcterms:created xsi:type="dcterms:W3CDTF">2026-03-03T08:36:00Z</dcterms:created>
  <dcterms:modified xsi:type="dcterms:W3CDTF">2026-03-03T08:50:00Z</dcterms:modified>
</cp:coreProperties>
</file>